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AB609" w14:textId="3570A671" w:rsidR="00F60E70" w:rsidRPr="003D706D" w:rsidRDefault="00F60E70" w:rsidP="00F60E70">
      <w:pPr>
        <w:pStyle w:val="Heading1"/>
      </w:pPr>
      <w:bookmarkStart w:id="0" w:name="_GoBack"/>
      <w:bookmarkEnd w:id="0"/>
      <w:r w:rsidRPr="003D706D">
        <w:t>C</w:t>
      </w:r>
      <w:r w:rsidR="008A2DF2" w:rsidRPr="003D706D">
        <w:t>itations</w:t>
      </w:r>
    </w:p>
    <w:p w14:paraId="6F9650E2" w14:textId="77777777" w:rsidR="00F60E70" w:rsidRDefault="00F60E70" w:rsidP="00F60E70"/>
    <w:p w14:paraId="74A9D13B" w14:textId="7D9212EB" w:rsidR="00F60E70" w:rsidRPr="00B566C5" w:rsidRDefault="00F60E70" w:rsidP="00F60E70">
      <w:pPr>
        <w:rPr>
          <w:rFonts w:ascii="Times New Roman" w:hAnsi="Times New Roman" w:cs="Times New Roman"/>
          <w:bCs/>
        </w:rPr>
      </w:pPr>
      <w:r w:rsidRPr="00B566C5">
        <w:rPr>
          <w:rFonts w:ascii="Times New Roman" w:hAnsi="Times New Roman" w:cs="Times New Roman"/>
          <w:bCs/>
        </w:rPr>
        <w:t xml:space="preserve">COOKE DEMOGRAPHICS </w:t>
      </w:r>
      <w:r w:rsidRPr="00D563F0">
        <w:rPr>
          <w:rFonts w:ascii="Times New Roman" w:hAnsi="Times New Roman" w:cs="Times New Roman"/>
          <w:bCs/>
          <w:color w:val="000000" w:themeColor="text1"/>
        </w:rPr>
        <w:t>LLC</w:t>
      </w:r>
      <w:r>
        <w:rPr>
          <w:rFonts w:ascii="Times New Roman" w:hAnsi="Times New Roman" w:cs="Times New Roman"/>
          <w:bCs/>
        </w:rPr>
        <w:t>.</w:t>
      </w:r>
      <w:r w:rsidRPr="00B566C5">
        <w:rPr>
          <w:rFonts w:ascii="Times New Roman" w:hAnsi="Times New Roman" w:cs="Times New Roman"/>
          <w:bCs/>
        </w:rPr>
        <w:t xml:space="preserve"> Population Projections 202</w:t>
      </w:r>
      <w:r w:rsidR="00630456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– </w:t>
      </w:r>
      <w:r w:rsidRPr="00B566C5">
        <w:rPr>
          <w:rFonts w:ascii="Times New Roman" w:hAnsi="Times New Roman" w:cs="Times New Roman"/>
          <w:bCs/>
        </w:rPr>
        <w:t>2047</w:t>
      </w:r>
      <w:r>
        <w:rPr>
          <w:rFonts w:ascii="Times New Roman" w:hAnsi="Times New Roman" w:cs="Times New Roman"/>
          <w:bCs/>
        </w:rPr>
        <w:t>.</w:t>
      </w:r>
      <w:r w:rsidRPr="00B566C5">
        <w:rPr>
          <w:rFonts w:ascii="Times New Roman" w:hAnsi="Times New Roman" w:cs="Times New Roman"/>
          <w:bCs/>
        </w:rPr>
        <w:t xml:space="preserve"> </w:t>
      </w:r>
      <w:r w:rsidR="00FC6883">
        <w:rPr>
          <w:rFonts w:ascii="Times New Roman" w:hAnsi="Times New Roman" w:cs="Times New Roman"/>
          <w:bCs/>
        </w:rPr>
        <w:t>October</w:t>
      </w:r>
      <w:r w:rsidRPr="00B566C5">
        <w:rPr>
          <w:rFonts w:ascii="Times New Roman" w:hAnsi="Times New Roman" w:cs="Times New Roman"/>
          <w:bCs/>
        </w:rPr>
        <w:t xml:space="preserve"> 2022.</w:t>
      </w:r>
      <w:r>
        <w:rPr>
          <w:rFonts w:ascii="Times New Roman" w:hAnsi="Times New Roman" w:cs="Times New Roman"/>
          <w:bCs/>
        </w:rPr>
        <w:t xml:space="preserve"> Prepared by Cubit Planning, Inc. </w:t>
      </w:r>
    </w:p>
    <w:p w14:paraId="31CCAA43" w14:textId="4A29EE0B" w:rsidR="00F60E70" w:rsidRDefault="00F60E70" w:rsidP="00F60E70">
      <w:pPr>
        <w:rPr>
          <w:bCs/>
        </w:rPr>
      </w:pPr>
    </w:p>
    <w:p w14:paraId="5AE3C245" w14:textId="0FD135D4" w:rsidR="00630456" w:rsidRPr="00630456" w:rsidRDefault="00630456" w:rsidP="00630456">
      <w:pPr>
        <w:rPr>
          <w:rFonts w:ascii="Times New Roman" w:hAnsi="Times New Roman" w:cs="Times New Roman"/>
          <w:bCs/>
        </w:rPr>
      </w:pPr>
      <w:r w:rsidRPr="00630456">
        <w:rPr>
          <w:rFonts w:ascii="Times New Roman" w:hAnsi="Times New Roman" w:cs="Times New Roman"/>
          <w:bCs/>
        </w:rPr>
        <w:t>United States Census Bureau. Annual Estimates of the Resident Population: April 1, 2020 to July 1, 2021. U.S. Census Bureau, Population Division. Web. May 2022. &lt;http</w:t>
      </w:r>
      <w:r>
        <w:rPr>
          <w:rFonts w:ascii="Times New Roman" w:hAnsi="Times New Roman" w:cs="Times New Roman"/>
          <w:bCs/>
        </w:rPr>
        <w:t>s</w:t>
      </w:r>
      <w:r w:rsidRPr="00630456">
        <w:rPr>
          <w:rFonts w:ascii="Times New Roman" w:hAnsi="Times New Roman" w:cs="Times New Roman"/>
          <w:bCs/>
        </w:rPr>
        <w:t>://www.census.gov/&gt;</w:t>
      </w:r>
    </w:p>
    <w:p w14:paraId="459E099E" w14:textId="77777777" w:rsidR="00630456" w:rsidRPr="00367501" w:rsidRDefault="00630456" w:rsidP="00F60E70">
      <w:pPr>
        <w:rPr>
          <w:bCs/>
        </w:rPr>
      </w:pPr>
    </w:p>
    <w:p w14:paraId="13ACA07D" w14:textId="7E338BF4" w:rsidR="00F60E70" w:rsidRPr="003D706D" w:rsidRDefault="00F60E70" w:rsidP="00F60E70">
      <w:pPr>
        <w:pStyle w:val="Heading1"/>
      </w:pPr>
      <w:r w:rsidRPr="003D706D">
        <w:t>N</w:t>
      </w:r>
      <w:r w:rsidR="008A2DF2" w:rsidRPr="003D706D">
        <w:t>otes</w:t>
      </w:r>
    </w:p>
    <w:p w14:paraId="3FA29B17" w14:textId="77777777" w:rsidR="00F60E70" w:rsidRPr="00B566C5" w:rsidRDefault="00F60E70" w:rsidP="00F60E70">
      <w:pPr>
        <w:rPr>
          <w:rFonts w:ascii="Times New Roman" w:hAnsi="Times New Roman" w:cs="Times New Roman"/>
        </w:rPr>
      </w:pPr>
    </w:p>
    <w:p w14:paraId="5C248C35" w14:textId="77777777" w:rsidR="00F60E70" w:rsidRPr="00B566C5" w:rsidRDefault="00F60E70" w:rsidP="00F60E70">
      <w:pPr>
        <w:rPr>
          <w:rFonts w:ascii="Times New Roman" w:hAnsi="Times New Roman" w:cs="Times New Roman"/>
        </w:rPr>
      </w:pPr>
      <w:r w:rsidRPr="00B566C5">
        <w:rPr>
          <w:rFonts w:ascii="Times New Roman" w:hAnsi="Times New Roman" w:cs="Times New Roman"/>
        </w:rPr>
        <w:t>GEO_CODE</w:t>
      </w:r>
    </w:p>
    <w:p w14:paraId="52719700" w14:textId="77777777" w:rsidR="00F60E70" w:rsidRDefault="00F60E70" w:rsidP="00F60E70">
      <w:pPr>
        <w:rPr>
          <w:rFonts w:ascii="Times New Roman" w:eastAsia="Times New Roman" w:hAnsi="Times New Roman" w:cs="Times New Roman"/>
          <w:b/>
          <w:bCs/>
        </w:rPr>
      </w:pPr>
    </w:p>
    <w:p w14:paraId="6ABAAB06" w14:textId="77777777" w:rsidR="00F60E70" w:rsidRDefault="00F60E70" w:rsidP="00F60E70">
      <w:pPr>
        <w:rPr>
          <w:rFonts w:ascii="Times New Roman" w:eastAsia="Times New Roman" w:hAnsi="Times New Roman" w:cs="Times New Roman"/>
        </w:rPr>
      </w:pPr>
      <w:r w:rsidRPr="00B566C5"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566C5">
        <w:rPr>
          <w:rFonts w:ascii="Times New Roman" w:eastAsia="Times New Roman" w:hAnsi="Times New Roman" w:cs="Times New Roman"/>
        </w:rPr>
        <w:t>United States</w:t>
      </w:r>
    </w:p>
    <w:p w14:paraId="163FEA30" w14:textId="0EA20737" w:rsidR="00F60E70" w:rsidRDefault="00F60E70" w:rsidP="00F60E7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FIPS</w:t>
      </w:r>
      <w:r>
        <w:rPr>
          <w:rFonts w:ascii="Times New Roman" w:eastAsia="Times New Roman" w:hAnsi="Times New Roman" w:cs="Times New Roman"/>
        </w:rPr>
        <w:tab/>
        <w:t xml:space="preserve">See details here: </w:t>
      </w:r>
      <w:hyperlink r:id="rId7" w:history="1">
        <w:r w:rsidRPr="00FA596B">
          <w:rPr>
            <w:rStyle w:val="Hyperlink"/>
            <w:rFonts w:ascii="Times New Roman" w:eastAsia="Times New Roman" w:hAnsi="Times New Roman" w:cs="Times New Roman"/>
          </w:rPr>
          <w:t>USDA List of State FIPS</w:t>
        </w:r>
      </w:hyperlink>
      <w:r>
        <w:rPr>
          <w:rFonts w:ascii="Times New Roman" w:eastAsia="Times New Roman" w:hAnsi="Times New Roman" w:cs="Times New Roman"/>
        </w:rPr>
        <w:tab/>
      </w:r>
    </w:p>
    <w:p w14:paraId="2D07E138" w14:textId="4E31B985" w:rsidR="00F60E70" w:rsidRDefault="00F60E70" w:rsidP="00F60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FIPS</w:t>
      </w:r>
      <w:r>
        <w:rPr>
          <w:rFonts w:ascii="Times New Roman" w:hAnsi="Times New Roman" w:cs="Times New Roman"/>
        </w:rPr>
        <w:tab/>
        <w:t xml:space="preserve">See details here: </w:t>
      </w:r>
      <w:hyperlink r:id="rId8" w:history="1">
        <w:r w:rsidRPr="00FA596B">
          <w:rPr>
            <w:rStyle w:val="Hyperlink"/>
            <w:rFonts w:ascii="Times New Roman" w:hAnsi="Times New Roman" w:cs="Times New Roman"/>
          </w:rPr>
          <w:t>USDA List of County FIPS</w:t>
        </w:r>
      </w:hyperlink>
      <w:r w:rsidR="009B4232">
        <w:rPr>
          <w:rStyle w:val="Hyperlink"/>
          <w:rFonts w:ascii="Times New Roman" w:hAnsi="Times New Roman" w:cs="Times New Roman"/>
        </w:rPr>
        <w:br/>
      </w:r>
    </w:p>
    <w:p w14:paraId="24322CE9" w14:textId="571FC13A" w:rsidR="00F60E70" w:rsidRDefault="009B4232" w:rsidP="00F60E70">
      <w:pPr>
        <w:rPr>
          <w:rFonts w:ascii="Times New Roman" w:hAnsi="Times New Roman" w:cs="Times New Roman"/>
        </w:rPr>
      </w:pPr>
      <w:r w:rsidRPr="009B4232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9B4232">
        <w:rPr>
          <w:rFonts w:ascii="Times New Roman" w:hAnsi="Times New Roman" w:cs="Times New Roman"/>
          <w:sz w:val="18"/>
          <w:szCs w:val="18"/>
        </w:rPr>
        <w:t>ot included</w:t>
      </w:r>
      <w:r>
        <w:rPr>
          <w:rFonts w:ascii="Times New Roman" w:hAnsi="Times New Roman" w:cs="Times New Roman"/>
          <w:sz w:val="18"/>
          <w:szCs w:val="18"/>
        </w:rPr>
        <w:t>: Kalawao County, HI; Puerto Rico and other U.S. territories.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33F1BEC3" w14:textId="77777777" w:rsidR="00F60E70" w:rsidRPr="00B566C5" w:rsidRDefault="00F60E70" w:rsidP="00F60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</w:p>
    <w:p w14:paraId="5C3009B1" w14:textId="77777777" w:rsidR="00F60E70" w:rsidRPr="00B566C5" w:rsidRDefault="00F60E70" w:rsidP="00F60E70">
      <w:pPr>
        <w:pStyle w:val="ListParagraph"/>
        <w:numPr>
          <w:ilvl w:val="0"/>
          <w:numId w:val="2"/>
        </w:numPr>
        <w:ind w:left="810" w:hanging="540"/>
        <w:rPr>
          <w:rFonts w:ascii="Times New Roman" w:hAnsi="Times New Roman" w:cs="Times New Roman"/>
        </w:rPr>
      </w:pPr>
      <w:r w:rsidRPr="00B566C5">
        <w:rPr>
          <w:rFonts w:ascii="Times New Roman" w:hAnsi="Times New Roman" w:cs="Times New Roman"/>
        </w:rPr>
        <w:t>Male</w:t>
      </w:r>
    </w:p>
    <w:p w14:paraId="39F0B6C0" w14:textId="77777777" w:rsidR="00F60E70" w:rsidRDefault="00F60E70" w:rsidP="00F60E70">
      <w:pPr>
        <w:pStyle w:val="ListParagraph"/>
        <w:numPr>
          <w:ilvl w:val="0"/>
          <w:numId w:val="2"/>
        </w:numPr>
        <w:ind w:left="810" w:hanging="540"/>
        <w:rPr>
          <w:rFonts w:ascii="Times New Roman" w:hAnsi="Times New Roman" w:cs="Times New Roman"/>
        </w:rPr>
      </w:pPr>
      <w:r w:rsidRPr="00B566C5">
        <w:rPr>
          <w:rFonts w:ascii="Times New Roman" w:hAnsi="Times New Roman" w:cs="Times New Roman"/>
        </w:rPr>
        <w:t>Female</w:t>
      </w:r>
    </w:p>
    <w:p w14:paraId="629FA95B" w14:textId="77777777" w:rsidR="00F60E70" w:rsidRDefault="00F60E70" w:rsidP="00F60E70">
      <w:pPr>
        <w:rPr>
          <w:rFonts w:ascii="Times New Roman" w:hAnsi="Times New Roman" w:cs="Times New Roman"/>
        </w:rPr>
      </w:pPr>
    </w:p>
    <w:p w14:paraId="2230FE73" w14:textId="77777777" w:rsidR="00F60E70" w:rsidRPr="00705523" w:rsidRDefault="00F60E70" w:rsidP="00F60E70">
      <w:pPr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AGE</w:t>
      </w:r>
      <w:r w:rsidRPr="00705523">
        <w:rPr>
          <w:rFonts w:ascii="Times New Roman" w:hAnsi="Times New Roman" w:cs="Times New Roman"/>
        </w:rPr>
        <w:tab/>
      </w:r>
    </w:p>
    <w:p w14:paraId="4C9E34F4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0</w:t>
      </w:r>
      <w:r w:rsidRPr="00705523">
        <w:rPr>
          <w:rFonts w:ascii="Times New Roman" w:hAnsi="Times New Roman" w:cs="Times New Roman"/>
        </w:rPr>
        <w:tab/>
        <w:t>Under 5 years</w:t>
      </w:r>
    </w:p>
    <w:p w14:paraId="6C6250CD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5</w:t>
      </w:r>
      <w:r w:rsidRPr="00705523">
        <w:rPr>
          <w:rFonts w:ascii="Times New Roman" w:hAnsi="Times New Roman" w:cs="Times New Roman"/>
        </w:rPr>
        <w:tab/>
        <w:t>5 to 9 years</w:t>
      </w:r>
    </w:p>
    <w:p w14:paraId="12C2B259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10</w:t>
      </w:r>
      <w:r w:rsidRPr="00705523">
        <w:rPr>
          <w:rFonts w:ascii="Times New Roman" w:hAnsi="Times New Roman" w:cs="Times New Roman"/>
        </w:rPr>
        <w:tab/>
        <w:t>10 to 14 years</w:t>
      </w:r>
    </w:p>
    <w:p w14:paraId="5240CD22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15</w:t>
      </w:r>
      <w:r w:rsidRPr="00705523">
        <w:rPr>
          <w:rFonts w:ascii="Times New Roman" w:hAnsi="Times New Roman" w:cs="Times New Roman"/>
        </w:rPr>
        <w:tab/>
        <w:t>15 to 19 years</w:t>
      </w:r>
    </w:p>
    <w:p w14:paraId="1B0A7229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20</w:t>
      </w:r>
      <w:r w:rsidRPr="00705523">
        <w:rPr>
          <w:rFonts w:ascii="Times New Roman" w:hAnsi="Times New Roman" w:cs="Times New Roman"/>
        </w:rPr>
        <w:tab/>
        <w:t>20 to 24 years</w:t>
      </w:r>
    </w:p>
    <w:p w14:paraId="7ACA5C71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25</w:t>
      </w:r>
      <w:r w:rsidRPr="00705523">
        <w:rPr>
          <w:rFonts w:ascii="Times New Roman" w:hAnsi="Times New Roman" w:cs="Times New Roman"/>
        </w:rPr>
        <w:tab/>
        <w:t>25 to 29 years</w:t>
      </w:r>
    </w:p>
    <w:p w14:paraId="40495B2E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30</w:t>
      </w:r>
      <w:r w:rsidRPr="00705523">
        <w:rPr>
          <w:rFonts w:ascii="Times New Roman" w:hAnsi="Times New Roman" w:cs="Times New Roman"/>
        </w:rPr>
        <w:tab/>
        <w:t>30 to 34 years</w:t>
      </w:r>
    </w:p>
    <w:p w14:paraId="593BBE90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35</w:t>
      </w:r>
      <w:r w:rsidRPr="00705523">
        <w:rPr>
          <w:rFonts w:ascii="Times New Roman" w:hAnsi="Times New Roman" w:cs="Times New Roman"/>
        </w:rPr>
        <w:tab/>
        <w:t>35 to 39 years</w:t>
      </w:r>
    </w:p>
    <w:p w14:paraId="640A85C2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40</w:t>
      </w:r>
      <w:r w:rsidRPr="00705523">
        <w:rPr>
          <w:rFonts w:ascii="Times New Roman" w:hAnsi="Times New Roman" w:cs="Times New Roman"/>
        </w:rPr>
        <w:tab/>
        <w:t>40 to 44 years</w:t>
      </w:r>
    </w:p>
    <w:p w14:paraId="02BA4F74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45</w:t>
      </w:r>
      <w:r w:rsidRPr="00705523">
        <w:rPr>
          <w:rFonts w:ascii="Times New Roman" w:hAnsi="Times New Roman" w:cs="Times New Roman"/>
        </w:rPr>
        <w:tab/>
        <w:t>45 to 49 years</w:t>
      </w:r>
    </w:p>
    <w:p w14:paraId="4086BECD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50</w:t>
      </w:r>
      <w:r w:rsidRPr="00705523">
        <w:rPr>
          <w:rFonts w:ascii="Times New Roman" w:hAnsi="Times New Roman" w:cs="Times New Roman"/>
        </w:rPr>
        <w:tab/>
        <w:t>50 to 54 years</w:t>
      </w:r>
    </w:p>
    <w:p w14:paraId="0C529805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55</w:t>
      </w:r>
      <w:r w:rsidRPr="00705523">
        <w:rPr>
          <w:rFonts w:ascii="Times New Roman" w:hAnsi="Times New Roman" w:cs="Times New Roman"/>
        </w:rPr>
        <w:tab/>
        <w:t>55 to 59 years</w:t>
      </w:r>
    </w:p>
    <w:p w14:paraId="579E9E41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60</w:t>
      </w:r>
      <w:r w:rsidRPr="00705523">
        <w:rPr>
          <w:rFonts w:ascii="Times New Roman" w:hAnsi="Times New Roman" w:cs="Times New Roman"/>
        </w:rPr>
        <w:tab/>
        <w:t>60 and 64 years</w:t>
      </w:r>
    </w:p>
    <w:p w14:paraId="7B2A046B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65</w:t>
      </w:r>
      <w:r w:rsidRPr="00705523">
        <w:rPr>
          <w:rFonts w:ascii="Times New Roman" w:hAnsi="Times New Roman" w:cs="Times New Roman"/>
        </w:rPr>
        <w:tab/>
        <w:t>65 to 69 years</w:t>
      </w:r>
    </w:p>
    <w:p w14:paraId="15F870CA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70</w:t>
      </w:r>
      <w:r w:rsidRPr="00705523">
        <w:rPr>
          <w:rFonts w:ascii="Times New Roman" w:hAnsi="Times New Roman" w:cs="Times New Roman"/>
        </w:rPr>
        <w:tab/>
        <w:t>70 to 74 years</w:t>
      </w:r>
    </w:p>
    <w:p w14:paraId="770BA8DB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75</w:t>
      </w:r>
      <w:r w:rsidRPr="00705523">
        <w:rPr>
          <w:rFonts w:ascii="Times New Roman" w:hAnsi="Times New Roman" w:cs="Times New Roman"/>
        </w:rPr>
        <w:tab/>
        <w:t>75 to 79 years</w:t>
      </w:r>
    </w:p>
    <w:p w14:paraId="1559D199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80</w:t>
      </w:r>
      <w:r w:rsidRPr="00705523">
        <w:rPr>
          <w:rFonts w:ascii="Times New Roman" w:hAnsi="Times New Roman" w:cs="Times New Roman"/>
        </w:rPr>
        <w:tab/>
        <w:t>80 to 84 years</w:t>
      </w:r>
    </w:p>
    <w:p w14:paraId="31CA8DC2" w14:textId="77777777" w:rsidR="00F60E70" w:rsidRPr="00705523" w:rsidRDefault="00F60E70" w:rsidP="00F60E70">
      <w:pPr>
        <w:ind w:left="810" w:hanging="540"/>
        <w:rPr>
          <w:rFonts w:ascii="Times New Roman" w:hAnsi="Times New Roman" w:cs="Times New Roman"/>
        </w:rPr>
      </w:pPr>
      <w:r w:rsidRPr="00705523">
        <w:rPr>
          <w:rFonts w:ascii="Times New Roman" w:hAnsi="Times New Roman" w:cs="Times New Roman"/>
        </w:rPr>
        <w:t>85</w:t>
      </w:r>
      <w:r w:rsidRPr="00705523">
        <w:rPr>
          <w:rFonts w:ascii="Times New Roman" w:hAnsi="Times New Roman" w:cs="Times New Roman"/>
        </w:rPr>
        <w:tab/>
        <w:t>85 years and over</w:t>
      </w:r>
    </w:p>
    <w:p w14:paraId="1EAFF3D4" w14:textId="77777777" w:rsidR="00F60E70" w:rsidRDefault="00F60E70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11974350" w14:textId="3F1EE124" w:rsidR="001A6352" w:rsidRPr="00F60E70" w:rsidRDefault="001A6352" w:rsidP="00F60E70">
      <w:pPr>
        <w:pStyle w:val="Heading1"/>
      </w:pPr>
      <w:r w:rsidRPr="00F60E70">
        <w:lastRenderedPageBreak/>
        <w:t>County Age-Sex Population Projection Methodology</w:t>
      </w:r>
    </w:p>
    <w:p w14:paraId="72FE07AF" w14:textId="77777777" w:rsidR="001A6352" w:rsidRPr="00F27258" w:rsidRDefault="001A6352" w:rsidP="001A6352">
      <w:pPr>
        <w:rPr>
          <w:color w:val="000000" w:themeColor="text1"/>
        </w:rPr>
      </w:pPr>
    </w:p>
    <w:p w14:paraId="1679CA8D" w14:textId="77777777" w:rsidR="001A6352" w:rsidRPr="00F27258" w:rsidRDefault="001A6352" w:rsidP="001A6352">
      <w:pPr>
        <w:rPr>
          <w:b/>
          <w:color w:val="000000" w:themeColor="text1"/>
        </w:rPr>
      </w:pPr>
      <w:r w:rsidRPr="00F27258">
        <w:rPr>
          <w:b/>
          <w:color w:val="000000" w:themeColor="text1"/>
        </w:rPr>
        <w:t>The Cohort Component Population Projection Model</w:t>
      </w:r>
    </w:p>
    <w:p w14:paraId="595C2E01" w14:textId="77777777" w:rsidR="001A6352" w:rsidRPr="00F27258" w:rsidRDefault="001A6352" w:rsidP="001A6352">
      <w:pPr>
        <w:rPr>
          <w:color w:val="000000" w:themeColor="text1"/>
        </w:rPr>
      </w:pPr>
    </w:p>
    <w:p w14:paraId="3F6F5BDC" w14:textId="2005DA63" w:rsidR="001A6352" w:rsidRPr="00F27258" w:rsidRDefault="001A6352" w:rsidP="00F27258">
      <w:pPr>
        <w:rPr>
          <w:i/>
          <w:iCs/>
          <w:color w:val="000000" w:themeColor="text1"/>
        </w:rPr>
      </w:pPr>
      <w:r w:rsidRPr="00F27258">
        <w:rPr>
          <w:color w:val="000000" w:themeColor="text1"/>
        </w:rPr>
        <w:t>These population projections were made using a cohort-component model</w:t>
      </w:r>
      <w:r w:rsidR="00006690" w:rsidRPr="00F27258">
        <w:rPr>
          <w:color w:val="000000" w:themeColor="text1"/>
        </w:rPr>
        <w:t xml:space="preserve"> (a cohort is a group of people who were born in the same </w:t>
      </w:r>
      <w:r w:rsidR="00C84C70" w:rsidRPr="00F27258">
        <w:rPr>
          <w:color w:val="000000" w:themeColor="text1"/>
        </w:rPr>
        <w:t>period</w:t>
      </w:r>
      <w:r w:rsidR="00006690" w:rsidRPr="00F27258">
        <w:rPr>
          <w:color w:val="000000" w:themeColor="text1"/>
        </w:rPr>
        <w:t>, e.g.</w:t>
      </w:r>
      <w:r w:rsidR="00C84C70" w:rsidRPr="00F27258">
        <w:rPr>
          <w:color w:val="000000" w:themeColor="text1"/>
        </w:rPr>
        <w:t>,</w:t>
      </w:r>
      <w:r w:rsidR="00006690" w:rsidRPr="00F27258">
        <w:rPr>
          <w:color w:val="000000" w:themeColor="text1"/>
        </w:rPr>
        <w:t xml:space="preserve"> 1960-1964)</w:t>
      </w:r>
      <w:r w:rsidRPr="00F27258">
        <w:rPr>
          <w:color w:val="000000" w:themeColor="text1"/>
        </w:rPr>
        <w:t>.</w:t>
      </w:r>
      <w:r w:rsidR="00C84C70" w:rsidRPr="00F27258">
        <w:rPr>
          <w:color w:val="000000" w:themeColor="text1"/>
        </w:rPr>
        <w:t xml:space="preserve"> </w:t>
      </w:r>
      <w:r w:rsidR="00D729AA" w:rsidRPr="00F27258">
        <w:rPr>
          <w:color w:val="000000" w:themeColor="text1"/>
        </w:rPr>
        <w:t>C</w:t>
      </w:r>
      <w:r w:rsidR="00006690" w:rsidRPr="00F27258">
        <w:rPr>
          <w:color w:val="000000" w:themeColor="text1"/>
        </w:rPr>
        <w:t>ohort-component model</w:t>
      </w:r>
      <w:r w:rsidR="00D729AA" w:rsidRPr="00F27258">
        <w:rPr>
          <w:color w:val="000000" w:themeColor="text1"/>
        </w:rPr>
        <w:t>s</w:t>
      </w:r>
      <w:r w:rsidR="00006690" w:rsidRPr="00F27258">
        <w:rPr>
          <w:color w:val="000000" w:themeColor="text1"/>
        </w:rPr>
        <w:t xml:space="preserve"> use assumptions about the components of population change - fertility, migration, and mortality - to “age” the current population into the future in five-year increments.</w:t>
      </w:r>
      <w:r w:rsidR="00C84C70" w:rsidRPr="00F27258">
        <w:rPr>
          <w:color w:val="000000" w:themeColor="text1"/>
        </w:rPr>
        <w:t xml:space="preserve"> </w:t>
      </w:r>
      <w:r w:rsidR="00006690" w:rsidRPr="00F27258">
        <w:rPr>
          <w:color w:val="000000" w:themeColor="text1"/>
        </w:rPr>
        <w:t>T</w:t>
      </w:r>
      <w:r w:rsidRPr="00F27258">
        <w:rPr>
          <w:color w:val="000000" w:themeColor="text1"/>
        </w:rPr>
        <w:t>hese projections were made using the Hamilton Perry (HP)</w:t>
      </w:r>
      <w:r w:rsidR="00D23375" w:rsidRPr="00F27258">
        <w:rPr>
          <w:color w:val="000000" w:themeColor="text1"/>
        </w:rPr>
        <w:t xml:space="preserve"> variation of the </w:t>
      </w:r>
      <w:r w:rsidRPr="00F27258">
        <w:rPr>
          <w:color w:val="000000" w:themeColor="text1"/>
        </w:rPr>
        <w:t>cohort-component model.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 xml:space="preserve">The HP model relies on fewer assumptions and less data </w:t>
      </w:r>
      <w:r w:rsidRPr="00F27258">
        <w:rPr>
          <w:color w:val="000000" w:themeColor="text1"/>
        </w:rPr>
        <w:fldChar w:fldCharType="begin"/>
      </w:r>
      <w:r w:rsidRPr="00F27258">
        <w:rPr>
          <w:color w:val="000000" w:themeColor="text1"/>
        </w:rPr>
        <w:instrText xml:space="preserve"> ADDIN EN.CITE &lt;EndNote&gt;&lt;Cite&gt;&lt;Author&gt;Smith&lt;/Author&gt;&lt;Year&gt;2006&lt;/Year&gt;&lt;RecNum&gt;2823&lt;/RecNum&gt;&lt;DisplayText&gt;(Smith et al. 2006)&lt;/DisplayText&gt;&lt;record&gt;&lt;rec-number&gt;2823&lt;/rec-number&gt;&lt;foreign-keys&gt;&lt;key app="EN" db-id="fw5zax206vpd5de0098pzxv2f992w05pda09" timestamp="1603714680"&gt;2823&lt;/key&gt;&lt;/foreign-keys&gt;&lt;ref-type name="Book"&gt;6&lt;/ref-type&gt;&lt;contributors&gt;&lt;authors&gt;&lt;author&gt;Smith, Stanley K&lt;/author&gt;&lt;author&gt;Tayman, Jeff&lt;/author&gt;&lt;author&gt;Swanson, David A&lt;/author&gt;&lt;/authors&gt;&lt;/contributors&gt;&lt;titles&gt;&lt;title&gt;State and local population projections: Methodology and analysis&lt;/title&gt;&lt;/titles&gt;&lt;dates&gt;&lt;year&gt;2006&lt;/year&gt;&lt;/dates&gt;&lt;publisher&gt;Springer Science &amp;amp; Business Media&lt;/publisher&gt;&lt;isbn&gt;0306473720&lt;/isbn&gt;&lt;urls&gt;&lt;/urls&gt;&lt;/record&gt;&lt;/Cite&gt;&lt;/EndNote&gt;</w:instrText>
      </w:r>
      <w:r w:rsidRPr="00F27258">
        <w:rPr>
          <w:color w:val="000000" w:themeColor="text1"/>
        </w:rPr>
        <w:fldChar w:fldCharType="separate"/>
      </w:r>
      <w:r w:rsidRPr="00F27258">
        <w:rPr>
          <w:noProof/>
          <w:color w:val="000000" w:themeColor="text1"/>
        </w:rPr>
        <w:t>(Smith et al. 2006)</w:t>
      </w:r>
      <w:r w:rsidRPr="00F27258">
        <w:rPr>
          <w:color w:val="000000" w:themeColor="text1"/>
        </w:rPr>
        <w:fldChar w:fldCharType="end"/>
      </w:r>
      <w:r w:rsidR="00C84C70" w:rsidRPr="00F27258">
        <w:rPr>
          <w:color w:val="000000" w:themeColor="text1"/>
        </w:rPr>
        <w:t>. They can be as accurate as standard cohort component projections when</w:t>
      </w:r>
      <w:r w:rsidRPr="00F27258">
        <w:rPr>
          <w:color w:val="000000" w:themeColor="text1"/>
        </w:rPr>
        <w:t xml:space="preserve"> they are adjusted – or “raked” - to match projections for </w:t>
      </w:r>
      <w:r w:rsidR="00C84C70" w:rsidRPr="00F27258">
        <w:rPr>
          <w:color w:val="000000" w:themeColor="text1"/>
        </w:rPr>
        <w:t>more significant</w:t>
      </w:r>
      <w:r w:rsidRPr="00F27258">
        <w:rPr>
          <w:color w:val="000000" w:themeColor="text1"/>
        </w:rPr>
        <w:t xml:space="preserve"> regions </w:t>
      </w:r>
      <w:r w:rsidRPr="00F27258">
        <w:rPr>
          <w:color w:val="000000" w:themeColor="text1"/>
        </w:rPr>
        <w:fldChar w:fldCharType="begin"/>
      </w:r>
      <w:r w:rsidRPr="00F27258">
        <w:rPr>
          <w:color w:val="000000" w:themeColor="text1"/>
        </w:rPr>
        <w:instrText xml:space="preserve"> ADDIN EN.CITE &lt;EndNote&gt;&lt;Cite&gt;&lt;Author&gt;Wilson&lt;/Author&gt;&lt;Year&gt;2016&lt;/Year&gt;&lt;RecNum&gt;2833&lt;/RecNum&gt;&lt;DisplayText&gt;(Wilson 2016)&lt;/DisplayText&gt;&lt;record&gt;&lt;rec-number&gt;2833&lt;/rec-number&gt;&lt;foreign-keys&gt;&lt;key app="EN" db-id="fw5zax206vpd5de0098pzxv2f992w05pda09" timestamp="1614356300"&gt;2833&lt;/key&gt;&lt;/foreign-keys&gt;&lt;ref-type name="Journal Article"&gt;17&lt;/ref-type&gt;&lt;contributors&gt;&lt;authors&gt;&lt;author&gt;Wilson, Tom&lt;/author&gt;&lt;/authors&gt;&lt;/contributors&gt;&lt;titles&gt;&lt;title&gt;Evaluation of alternative cohort-component models for local area population forecasts&lt;/title&gt;&lt;secondary-title&gt;Population Research and Policy Review&lt;/secondary-title&gt;&lt;/titles&gt;&lt;periodical&gt;&lt;full-title&gt;Population Research and Policy Review&lt;/full-title&gt;&lt;/periodical&gt;&lt;pages&gt;241-261&lt;/pages&gt;&lt;volume&gt;35&lt;/volume&gt;&lt;number&gt;2&lt;/number&gt;&lt;dates&gt;&lt;year&gt;2016&lt;/year&gt;&lt;/dates&gt;&lt;isbn&gt;0167-5923&lt;/isbn&gt;&lt;urls&gt;&lt;/urls&gt;&lt;/record&gt;&lt;/Cite&gt;&lt;/EndNote&gt;</w:instrText>
      </w:r>
      <w:r w:rsidRPr="00F27258">
        <w:rPr>
          <w:color w:val="000000" w:themeColor="text1"/>
        </w:rPr>
        <w:fldChar w:fldCharType="separate"/>
      </w:r>
      <w:r w:rsidRPr="00F27258">
        <w:rPr>
          <w:color w:val="000000" w:themeColor="text1"/>
        </w:rPr>
        <w:t>(Wilson 2016)</w:t>
      </w:r>
      <w:r w:rsidRPr="00F27258">
        <w:rPr>
          <w:color w:val="000000" w:themeColor="text1"/>
        </w:rPr>
        <w:fldChar w:fldCharType="end"/>
      </w:r>
      <w:r w:rsidRPr="00F27258">
        <w:rPr>
          <w:color w:val="000000" w:themeColor="text1"/>
        </w:rPr>
        <w:t xml:space="preserve">. </w:t>
      </w:r>
    </w:p>
    <w:p w14:paraId="2E23D094" w14:textId="77777777" w:rsidR="001A6352" w:rsidRPr="00F27258" w:rsidRDefault="001A6352" w:rsidP="001A6352">
      <w:pPr>
        <w:rPr>
          <w:color w:val="000000" w:themeColor="text1"/>
        </w:rPr>
      </w:pPr>
    </w:p>
    <w:p w14:paraId="343FE884" w14:textId="4F1006BE" w:rsidR="001A6352" w:rsidRPr="00F27258" w:rsidRDefault="001A6352" w:rsidP="001A6352">
      <w:pPr>
        <w:rPr>
          <w:b/>
          <w:color w:val="000000" w:themeColor="text1"/>
        </w:rPr>
      </w:pPr>
      <w:r w:rsidRPr="00F27258">
        <w:rPr>
          <w:b/>
          <w:color w:val="000000" w:themeColor="text1"/>
        </w:rPr>
        <w:t>Implementation of the HP Model for US County Age-Sex Projections</w:t>
      </w:r>
    </w:p>
    <w:p w14:paraId="5F18D9FA" w14:textId="77777777" w:rsidR="00161BAA" w:rsidRPr="00F27258" w:rsidRDefault="00161BAA" w:rsidP="001A6352">
      <w:pPr>
        <w:rPr>
          <w:color w:val="000000" w:themeColor="text1"/>
        </w:rPr>
      </w:pPr>
    </w:p>
    <w:p w14:paraId="51587F79" w14:textId="01952FF9" w:rsidR="00161BAA" w:rsidRPr="00F27258" w:rsidRDefault="001A6352" w:rsidP="001A6352">
      <w:pPr>
        <w:rPr>
          <w:color w:val="000000" w:themeColor="text1"/>
        </w:rPr>
      </w:pPr>
      <w:r w:rsidRPr="00F27258">
        <w:rPr>
          <w:color w:val="000000" w:themeColor="text1"/>
        </w:rPr>
        <w:t>The goal is to produce a set of consistent projections for each US county, which reflect regional and national trends in mortality, fertility</w:t>
      </w:r>
      <w:r w:rsidR="00C84C70" w:rsidRPr="00F27258">
        <w:rPr>
          <w:color w:val="000000" w:themeColor="text1"/>
        </w:rPr>
        <w:t>,</w:t>
      </w:r>
      <w:r w:rsidRPr="00F27258">
        <w:rPr>
          <w:color w:val="000000" w:themeColor="text1"/>
        </w:rPr>
        <w:t xml:space="preserve"> and migration.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>These HP projections are based on US Census county age-sex population estimates for 2010-2020</w:t>
      </w:r>
      <w:r w:rsidR="00C84C70" w:rsidRPr="00F27258">
        <w:rPr>
          <w:color w:val="000000" w:themeColor="text1"/>
        </w:rPr>
        <w:t>.</w:t>
      </w:r>
    </w:p>
    <w:p w14:paraId="06574DFB" w14:textId="77777777" w:rsidR="00161BAA" w:rsidRPr="00F27258" w:rsidRDefault="00161BAA" w:rsidP="001A6352">
      <w:pPr>
        <w:rPr>
          <w:color w:val="000000" w:themeColor="text1"/>
        </w:rPr>
      </w:pPr>
    </w:p>
    <w:p w14:paraId="564665A4" w14:textId="345A1C96" w:rsidR="001A6352" w:rsidRPr="00F27258" w:rsidRDefault="001A6352" w:rsidP="001A6352">
      <w:pPr>
        <w:rPr>
          <w:color w:val="000000" w:themeColor="text1"/>
        </w:rPr>
      </w:pPr>
      <w:r w:rsidRPr="00F27258">
        <w:rPr>
          <w:color w:val="000000" w:themeColor="text1"/>
        </w:rPr>
        <w:t>First, HP projections were made for each of the US Bureau of Economic Analysis Regions (BEAs).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>BEAs cover the entire US and identify regions with urban cores (high population densities) surrounded by suburban counties and rural counties.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>Next, the BEA projections were adjusted (or “raked”) so that the sum of projections is equal to each of 3 U</w:t>
      </w:r>
      <w:r w:rsidR="00C84C70" w:rsidRPr="00F27258">
        <w:rPr>
          <w:color w:val="000000" w:themeColor="text1"/>
        </w:rPr>
        <w:t>nited Nations (UN) a</w:t>
      </w:r>
      <w:r w:rsidRPr="00F27258">
        <w:rPr>
          <w:color w:val="000000" w:themeColor="text1"/>
        </w:rPr>
        <w:t>ge-sex projections for the US:</w:t>
      </w:r>
    </w:p>
    <w:p w14:paraId="1A920F20" w14:textId="77777777" w:rsidR="001A6352" w:rsidRPr="00F27258" w:rsidRDefault="001A6352" w:rsidP="001A635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27258">
        <w:rPr>
          <w:color w:val="000000" w:themeColor="text1"/>
        </w:rPr>
        <w:t>Median Probabilistic Variant</w:t>
      </w:r>
    </w:p>
    <w:p w14:paraId="705AF8B1" w14:textId="77777777" w:rsidR="001A6352" w:rsidRPr="00F27258" w:rsidRDefault="001A6352" w:rsidP="001A635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27258">
        <w:rPr>
          <w:color w:val="000000" w:themeColor="text1"/>
        </w:rPr>
        <w:t>Median Fertility Variant</w:t>
      </w:r>
    </w:p>
    <w:p w14:paraId="6D0395BC" w14:textId="77777777" w:rsidR="001A6352" w:rsidRPr="00F27258" w:rsidRDefault="001A6352" w:rsidP="001A635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27258">
        <w:rPr>
          <w:color w:val="000000" w:themeColor="text1"/>
        </w:rPr>
        <w:t>Low Fertility Variant</w:t>
      </w:r>
    </w:p>
    <w:p w14:paraId="3D943BD1" w14:textId="4C04B633" w:rsidR="001A6352" w:rsidRPr="00F27258" w:rsidRDefault="001A6352" w:rsidP="001A6352">
      <w:pPr>
        <w:rPr>
          <w:color w:val="000000" w:themeColor="text1"/>
        </w:rPr>
      </w:pPr>
      <w:r w:rsidRPr="00F27258">
        <w:rPr>
          <w:color w:val="000000" w:themeColor="text1"/>
        </w:rPr>
        <w:t>The first two variants are “business as usual” models</w:t>
      </w:r>
      <w:r w:rsidR="00641C41" w:rsidRPr="00F27258">
        <w:rPr>
          <w:color w:val="000000" w:themeColor="text1"/>
        </w:rPr>
        <w:t>. T</w:t>
      </w:r>
      <w:r w:rsidRPr="00F27258">
        <w:rPr>
          <w:color w:val="000000" w:themeColor="text1"/>
        </w:rPr>
        <w:t>he 3</w:t>
      </w:r>
      <w:r w:rsidRPr="00F27258">
        <w:rPr>
          <w:color w:val="000000" w:themeColor="text1"/>
          <w:vertAlign w:val="superscript"/>
        </w:rPr>
        <w:t>rd</w:t>
      </w:r>
      <w:r w:rsidRPr="00F27258">
        <w:rPr>
          <w:color w:val="000000" w:themeColor="text1"/>
        </w:rPr>
        <w:t xml:space="preserve"> model assumes a decline in fertility</w:t>
      </w:r>
      <w:r w:rsidR="00C84C70" w:rsidRPr="00F27258">
        <w:rPr>
          <w:color w:val="000000" w:themeColor="text1"/>
        </w:rPr>
        <w:t>, consistent</w:t>
      </w:r>
      <w:r w:rsidRPr="00F27258">
        <w:rPr>
          <w:color w:val="000000" w:themeColor="text1"/>
        </w:rPr>
        <w:t xml:space="preserve"> with </w:t>
      </w:r>
      <w:r w:rsidR="00C84C70" w:rsidRPr="00F27258">
        <w:rPr>
          <w:color w:val="000000" w:themeColor="text1"/>
        </w:rPr>
        <w:t xml:space="preserve">the </w:t>
      </w:r>
      <w:r w:rsidRPr="00F27258">
        <w:rPr>
          <w:color w:val="000000" w:themeColor="text1"/>
        </w:rPr>
        <w:t xml:space="preserve">long-term decline in US fertility rates. </w:t>
      </w:r>
    </w:p>
    <w:p w14:paraId="052DC70E" w14:textId="4FC05FF6" w:rsidR="001A6352" w:rsidRPr="00F27258" w:rsidRDefault="001A6352" w:rsidP="001A6352">
      <w:pPr>
        <w:rPr>
          <w:color w:val="000000" w:themeColor="text1"/>
        </w:rPr>
      </w:pPr>
    </w:p>
    <w:p w14:paraId="662AAA81" w14:textId="014A5C55" w:rsidR="001A6352" w:rsidRPr="00F27258" w:rsidRDefault="001A6352" w:rsidP="001A6352">
      <w:pPr>
        <w:rPr>
          <w:color w:val="000000" w:themeColor="text1"/>
        </w:rPr>
      </w:pPr>
      <w:r w:rsidRPr="00F27258">
        <w:rPr>
          <w:color w:val="000000" w:themeColor="text1"/>
        </w:rPr>
        <w:t>The next step is to identify outlier CCRs.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 xml:space="preserve">For example, Trousdale County, TN </w:t>
      </w:r>
      <w:r w:rsidR="00161BAA" w:rsidRPr="00F27258">
        <w:rPr>
          <w:color w:val="000000" w:themeColor="text1"/>
        </w:rPr>
        <w:t xml:space="preserve">grew </w:t>
      </w:r>
      <w:r w:rsidRPr="00F27258">
        <w:rPr>
          <w:color w:val="000000" w:themeColor="text1"/>
        </w:rPr>
        <w:t>from 7,870 to 11,445</w:t>
      </w:r>
      <w:r w:rsidR="00161BAA" w:rsidRPr="00F27258">
        <w:rPr>
          <w:color w:val="000000" w:themeColor="text1"/>
        </w:rPr>
        <w:t xml:space="preserve"> throughout the 2010s</w:t>
      </w:r>
      <w:r w:rsidRPr="00F27258">
        <w:rPr>
          <w:color w:val="000000" w:themeColor="text1"/>
        </w:rPr>
        <w:t>.</w:t>
      </w:r>
      <w:r w:rsidR="00C84C70" w:rsidRPr="00F27258">
        <w:rPr>
          <w:color w:val="000000" w:themeColor="text1"/>
        </w:rPr>
        <w:t xml:space="preserve"> </w:t>
      </w:r>
      <w:r w:rsidR="00161BAA" w:rsidRPr="00F27258">
        <w:rPr>
          <w:color w:val="000000" w:themeColor="text1"/>
        </w:rPr>
        <w:t>But a</w:t>
      </w:r>
      <w:r w:rsidRPr="00F27258">
        <w:rPr>
          <w:color w:val="000000" w:themeColor="text1"/>
        </w:rPr>
        <w:t xml:space="preserve"> significant portion of this population increase was due to the </w:t>
      </w:r>
      <w:r w:rsidR="00641C41" w:rsidRPr="00F27258">
        <w:rPr>
          <w:color w:val="000000" w:themeColor="text1"/>
        </w:rPr>
        <w:t xml:space="preserve">one-time </w:t>
      </w:r>
      <w:r w:rsidRPr="00F27258">
        <w:rPr>
          <w:color w:val="000000" w:themeColor="text1"/>
        </w:rPr>
        <w:t>opening of a prison in 2016 with approximately 2,500 young adult male inmates.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 xml:space="preserve">The raw CCRs for young adult men are consequently very large, incorrectly forecasting that Trousdale will have continued rapid in-migration </w:t>
      </w:r>
      <w:r w:rsidR="00C84C70" w:rsidRPr="00F27258">
        <w:rPr>
          <w:color w:val="000000" w:themeColor="text1"/>
        </w:rPr>
        <w:t xml:space="preserve">of young adult men </w:t>
      </w:r>
      <w:r w:rsidRPr="00F27258">
        <w:rPr>
          <w:color w:val="000000" w:themeColor="text1"/>
        </w:rPr>
        <w:t>rather than just a one-time increase.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 xml:space="preserve">The systemic resolution </w:t>
      </w:r>
      <w:r w:rsidR="00641C41" w:rsidRPr="00F27258">
        <w:rPr>
          <w:color w:val="000000" w:themeColor="text1"/>
        </w:rPr>
        <w:t xml:space="preserve">to this - and a limited number of similar situations - </w:t>
      </w:r>
      <w:r w:rsidRPr="00F27258">
        <w:rPr>
          <w:color w:val="000000" w:themeColor="text1"/>
        </w:rPr>
        <w:t xml:space="preserve">is to identify extreme CCRs using Tukey’s rule </w:t>
      </w:r>
      <w:r w:rsidRPr="00F27258">
        <w:rPr>
          <w:color w:val="000000" w:themeColor="text1"/>
        </w:rPr>
        <w:fldChar w:fldCharType="begin"/>
      </w:r>
      <w:r w:rsidRPr="00F27258">
        <w:rPr>
          <w:color w:val="000000" w:themeColor="text1"/>
        </w:rPr>
        <w:instrText xml:space="preserve"> ADDIN EN.CITE &lt;EndNote&gt;&lt;Cite&gt;&lt;Author&gt;Montgomery&lt;/Author&gt;&lt;Year&gt;2013&lt;/Year&gt;&lt;RecNum&gt;2876&lt;/RecNum&gt;&lt;DisplayText&gt;(Montgomery 2013)&lt;/DisplayText&gt;&lt;record&gt;&lt;rec-number&gt;2876&lt;/rec-number&gt;&lt;foreign-keys&gt;&lt;key app="EN" db-id="fw5zax206vpd5de0098pzxv2f992w05pda09" timestamp="1643249665"&gt;2876&lt;/key&gt;&lt;/foreign-keys&gt;&lt;ref-type name="Book"&gt;6&lt;/ref-type&gt;&lt;contributors&gt;&lt;authors&gt;&lt;author&gt;Montgomery, Douglas C&lt;/author&gt;&lt;/authors&gt;&lt;/contributors&gt;&lt;titles&gt;&lt;title&gt;Design and analysis of experiments&lt;/title&gt;&lt;/titles&gt;&lt;dates&gt;&lt;year&gt;2013&lt;/year&gt;&lt;/dates&gt;&lt;publisher&gt;Wiley&lt;/publisher&gt;&lt;urls&gt;&lt;/urls&gt;&lt;/record&gt;&lt;/Cite&gt;&lt;/EndNote&gt;</w:instrText>
      </w:r>
      <w:r w:rsidRPr="00F27258">
        <w:rPr>
          <w:color w:val="000000" w:themeColor="text1"/>
        </w:rPr>
        <w:fldChar w:fldCharType="separate"/>
      </w:r>
      <w:r w:rsidRPr="00F27258">
        <w:rPr>
          <w:noProof/>
          <w:color w:val="000000" w:themeColor="text1"/>
        </w:rPr>
        <w:t>(Montgomery 2013)</w:t>
      </w:r>
      <w:r w:rsidRPr="00F27258">
        <w:rPr>
          <w:color w:val="000000" w:themeColor="text1"/>
        </w:rPr>
        <w:fldChar w:fldCharType="end"/>
      </w:r>
      <w:r w:rsidRPr="00F27258">
        <w:rPr>
          <w:color w:val="000000" w:themeColor="text1"/>
        </w:rPr>
        <w:t xml:space="preserve"> and replace them with imputed CCRs using </w:t>
      </w:r>
      <w:proofErr w:type="spellStart"/>
      <w:r w:rsidRPr="00F27258">
        <w:rPr>
          <w:color w:val="000000" w:themeColor="text1"/>
        </w:rPr>
        <w:t>winsorizing</w:t>
      </w:r>
      <w:proofErr w:type="spellEnd"/>
      <w:r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fldChar w:fldCharType="begin"/>
      </w:r>
      <w:r w:rsidRPr="00F27258">
        <w:rPr>
          <w:color w:val="000000" w:themeColor="text1"/>
        </w:rPr>
        <w:instrText xml:space="preserve"> ADDIN EN.CITE &lt;EndNote&gt;&lt;Cite&gt;&lt;Author&gt;Cox&lt;/Author&gt;&lt;Year&gt;2013&lt;/Year&gt;&lt;RecNum&gt;2877&lt;/RecNum&gt;&lt;DisplayText&gt;(Cox 2013)&lt;/DisplayText&gt;&lt;record&gt;&lt;rec-number&gt;2877&lt;/rec-number&gt;&lt;foreign-keys&gt;&lt;key app="EN" db-id="fw5zax206vpd5de0098pzxv2f992w05pda09" timestamp="1643249749"&gt;2877&lt;/key&gt;&lt;/foreign-keys&gt;&lt;ref-type name="Journal Article"&gt;17&lt;/ref-type&gt;&lt;contributors&gt;&lt;authors&gt;&lt;author&gt;Cox, N. J.&lt;/author&gt;&lt;/authors&gt;&lt;/contributors&gt;&lt;titles&gt;&lt;title&gt;Speaking Stata: Trimming to taste&lt;/title&gt;&lt;secondary-title&gt;Stata Journal&lt;/secondary-title&gt;&lt;/titles&gt;&lt;periodical&gt;&lt;full-title&gt;Stata Journal&lt;/full-title&gt;&lt;/periodical&gt;&lt;pages&gt;640-666&lt;/pages&gt;&lt;volume&gt;13&lt;/volume&gt;&lt;number&gt;3&lt;/number&gt;&lt;keywords&gt;&lt;keyword&gt;trimmean&lt;/keyword&gt;&lt;keyword&gt;trimplot&lt;/keyword&gt;&lt;keyword&gt;trimming&lt;/keyword&gt;&lt;keyword&gt;means&lt;/keyword&gt;&lt;keyword&gt;medians&lt;/keyword&gt;&lt;keyword&gt;midmeans&lt;/keyword&gt;&lt;keyword&gt;Winsorizing&lt;/keyword&gt;&lt;keyword&gt;robust&lt;/keyword&gt;&lt;keyword&gt;resistant&lt;/keyword&gt;&lt;keyword&gt;graphics&lt;/keyword&gt;&lt;/keywords&gt;&lt;dates&gt;&lt;year&gt;2013&lt;/year&gt;&lt;/dates&gt;&lt;pub-location&gt;College Station, TX&lt;/pub-location&gt;&lt;publisher&gt;Stata Press&lt;/publisher&gt;&lt;urls&gt;&lt;/urls&gt;&lt;/record&gt;&lt;/Cite&gt;&lt;/EndNote&gt;</w:instrText>
      </w:r>
      <w:r w:rsidRPr="00F27258">
        <w:rPr>
          <w:color w:val="000000" w:themeColor="text1"/>
        </w:rPr>
        <w:fldChar w:fldCharType="separate"/>
      </w:r>
      <w:r w:rsidRPr="00F27258">
        <w:rPr>
          <w:noProof/>
          <w:color w:val="000000" w:themeColor="text1"/>
        </w:rPr>
        <w:t>(Cox 2013)</w:t>
      </w:r>
      <w:r w:rsidRPr="00F27258">
        <w:rPr>
          <w:color w:val="000000" w:themeColor="text1"/>
        </w:rPr>
        <w:fldChar w:fldCharType="end"/>
      </w:r>
      <w:r w:rsidRPr="00F27258">
        <w:rPr>
          <w:color w:val="000000" w:themeColor="text1"/>
        </w:rPr>
        <w:t xml:space="preserve"> and multiple </w:t>
      </w:r>
      <w:r w:rsidR="00C84C70" w:rsidRPr="00F27258">
        <w:rPr>
          <w:color w:val="000000" w:themeColor="text1"/>
        </w:rPr>
        <w:t>imputations</w:t>
      </w:r>
      <w:r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fldChar w:fldCharType="begin"/>
      </w:r>
      <w:r w:rsidRPr="00F27258">
        <w:rPr>
          <w:color w:val="000000" w:themeColor="text1"/>
        </w:rPr>
        <w:instrText xml:space="preserve"> ADDIN EN.CITE &lt;EndNote&gt;&lt;Cite&gt;&lt;Author&gt;Royston&lt;/Author&gt;&lt;Year&gt;2004&lt;/Year&gt;&lt;RecNum&gt;2872&lt;/RecNum&gt;&lt;DisplayText&gt;(Royston 2004)&lt;/DisplayText&gt;&lt;record&gt;&lt;rec-number&gt;2872&lt;/rec-number&gt;&lt;foreign-keys&gt;&lt;key app="EN" db-id="fw5zax206vpd5de0098pzxv2f992w05pda09" timestamp="1643249304"&gt;2872&lt;/key&gt;&lt;/foreign-keys&gt;&lt;ref-type name="Journal Article"&gt;17&lt;/ref-type&gt;&lt;contributors&gt;&lt;authors&gt;&lt;author&gt;Royston, P.&lt;/author&gt;&lt;/authors&gt;&lt;/contributors&gt;&lt;titles&gt;&lt;title&gt;Multiple imputation of missing values&lt;/title&gt;&lt;secondary-title&gt;Stata Journal&lt;/secondary-title&gt;&lt;/titles&gt;&lt;periodical&gt;&lt;full-title&gt;Stata Journal&lt;/full-title&gt;&lt;/periodical&gt;&lt;pages&gt;227-241&lt;/pages&gt;&lt;volume&gt;4&lt;/volume&gt;&lt;number&gt;3&lt;/number&gt;&lt;dates&gt;&lt;year&gt;2004&lt;/year&gt;&lt;/dates&gt;&lt;pub-location&gt;College Station, TX&lt;/pub-location&gt;&lt;publisher&gt;Stata Press&lt;/publisher&gt;&lt;urls&gt;&lt;/urls&gt;&lt;/record&gt;&lt;/Cite&gt;&lt;/EndNote&gt;</w:instrText>
      </w:r>
      <w:r w:rsidRPr="00F27258">
        <w:rPr>
          <w:color w:val="000000" w:themeColor="text1"/>
        </w:rPr>
        <w:fldChar w:fldCharType="separate"/>
      </w:r>
      <w:r w:rsidRPr="00F27258">
        <w:rPr>
          <w:noProof/>
          <w:color w:val="000000" w:themeColor="text1"/>
        </w:rPr>
        <w:t>(Royston 2004)</w:t>
      </w:r>
      <w:r w:rsidRPr="00F27258">
        <w:rPr>
          <w:color w:val="000000" w:themeColor="text1"/>
        </w:rPr>
        <w:fldChar w:fldCharType="end"/>
      </w:r>
      <w:r w:rsidRPr="00F27258">
        <w:rPr>
          <w:color w:val="000000" w:themeColor="text1"/>
        </w:rPr>
        <w:t xml:space="preserve">. </w:t>
      </w:r>
    </w:p>
    <w:p w14:paraId="0DDC0DA1" w14:textId="77777777" w:rsidR="001A6352" w:rsidRPr="00F27258" w:rsidRDefault="001A6352" w:rsidP="001A6352">
      <w:pPr>
        <w:rPr>
          <w:color w:val="000000" w:themeColor="text1"/>
        </w:rPr>
      </w:pPr>
    </w:p>
    <w:p w14:paraId="2C3A0F29" w14:textId="608078C7" w:rsidR="0057693E" w:rsidRDefault="001A6352" w:rsidP="001A6352">
      <w:pPr>
        <w:rPr>
          <w:color w:val="000000" w:themeColor="text1"/>
        </w:rPr>
      </w:pPr>
      <w:r w:rsidRPr="00F27258">
        <w:rPr>
          <w:color w:val="000000" w:themeColor="text1"/>
        </w:rPr>
        <w:t>The final step is calculating HP county age-sex populations from 202</w:t>
      </w:r>
      <w:r w:rsidR="00630456">
        <w:rPr>
          <w:color w:val="000000" w:themeColor="text1"/>
        </w:rPr>
        <w:t xml:space="preserve">2 </w:t>
      </w:r>
      <w:r w:rsidRPr="00F27258">
        <w:rPr>
          <w:color w:val="000000" w:themeColor="text1"/>
        </w:rPr>
        <w:t xml:space="preserve">to </w:t>
      </w:r>
      <w:r w:rsidR="00C84C70" w:rsidRPr="00F27258">
        <w:rPr>
          <w:color w:val="000000" w:themeColor="text1"/>
        </w:rPr>
        <w:t>2047</w:t>
      </w:r>
      <w:r w:rsidRPr="00F27258">
        <w:rPr>
          <w:color w:val="000000" w:themeColor="text1"/>
        </w:rPr>
        <w:t>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>This projection is then raked to each of the three previously estimated BEA projections.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 xml:space="preserve">These three estimates are averaged to create the final county age-sex projections </w:t>
      </w:r>
      <w:r w:rsidR="00C84C70" w:rsidRPr="00F27258">
        <w:rPr>
          <w:color w:val="000000" w:themeColor="text1"/>
        </w:rPr>
        <w:t>from 202</w:t>
      </w:r>
      <w:r w:rsidR="00630456">
        <w:rPr>
          <w:color w:val="000000" w:themeColor="text1"/>
        </w:rPr>
        <w:t>2</w:t>
      </w:r>
      <w:r w:rsidR="00C84C70" w:rsidRPr="00F27258">
        <w:rPr>
          <w:color w:val="000000" w:themeColor="text1"/>
        </w:rPr>
        <w:t xml:space="preserve"> to 2047</w:t>
      </w:r>
      <w:r w:rsidRPr="00F27258">
        <w:rPr>
          <w:color w:val="000000" w:themeColor="text1"/>
        </w:rPr>
        <w:t>.</w:t>
      </w:r>
      <w:r w:rsidR="00C84C70" w:rsidRPr="00F27258">
        <w:rPr>
          <w:color w:val="000000" w:themeColor="text1"/>
        </w:rPr>
        <w:t xml:space="preserve"> </w:t>
      </w:r>
      <w:r w:rsidRPr="00F27258">
        <w:rPr>
          <w:color w:val="000000" w:themeColor="text1"/>
        </w:rPr>
        <w:t>Averaging across slightly different projections significantly increases projection accuracy.</w:t>
      </w:r>
    </w:p>
    <w:p w14:paraId="0F5AD089" w14:textId="74B1E0F1" w:rsidR="0057693E" w:rsidRDefault="0057693E" w:rsidP="001A6352">
      <w:pPr>
        <w:rPr>
          <w:color w:val="000000" w:themeColor="text1"/>
        </w:rPr>
      </w:pPr>
      <w:r w:rsidRPr="0057693E">
        <w:rPr>
          <w:b/>
          <w:bCs/>
          <w:color w:val="000000" w:themeColor="text1"/>
        </w:rPr>
        <w:lastRenderedPageBreak/>
        <w:t>2020 Population</w:t>
      </w:r>
      <w:r w:rsidR="008C6A62">
        <w:rPr>
          <w:b/>
          <w:bCs/>
          <w:color w:val="000000" w:themeColor="text1"/>
        </w:rPr>
        <w:br/>
      </w:r>
    </w:p>
    <w:p w14:paraId="072F7AEA" w14:textId="54AFF044" w:rsidR="00E273B0" w:rsidRDefault="0057693E" w:rsidP="00E273B0">
      <w:pPr>
        <w:rPr>
          <w:color w:val="000000" w:themeColor="text1"/>
        </w:rPr>
      </w:pPr>
      <w:r>
        <w:rPr>
          <w:color w:val="000000" w:themeColor="text1"/>
        </w:rPr>
        <w:t xml:space="preserve">The population estimate </w:t>
      </w:r>
      <w:r w:rsidR="00E273B0">
        <w:rPr>
          <w:color w:val="000000" w:themeColor="text1"/>
        </w:rPr>
        <w:t xml:space="preserve">is normally based on the decennial census; </w:t>
      </w:r>
      <w:r w:rsidR="003D706D">
        <w:rPr>
          <w:color w:val="000000" w:themeColor="text1"/>
        </w:rPr>
        <w:t>however,</w:t>
      </w:r>
      <w:r w:rsidR="00E273B0">
        <w:rPr>
          <w:color w:val="000000" w:themeColor="text1"/>
        </w:rPr>
        <w:t xml:space="preserve"> the 2020 Census could not be used for this estimate due to variables impacted by the new disclosure avoidance system, and delays due to COVID-19. Due to this, the Population Estimates Program developed a process for integrating three data sources to produce a Blended Base. </w:t>
      </w:r>
    </w:p>
    <w:p w14:paraId="179E4051" w14:textId="77777777" w:rsidR="00E273B0" w:rsidRDefault="00E273B0" w:rsidP="00E273B0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2020 Census PL 94-171 Redistricting File</w:t>
      </w:r>
    </w:p>
    <w:p w14:paraId="2D38614A" w14:textId="77777777" w:rsidR="00E273B0" w:rsidRDefault="00E273B0" w:rsidP="00E273B0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2020 Demographic Analysis (DA) Estimates</w:t>
      </w:r>
    </w:p>
    <w:p w14:paraId="4E038924" w14:textId="596C1A72" w:rsidR="001A6352" w:rsidRPr="00E273B0" w:rsidRDefault="00E273B0" w:rsidP="00E273B0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Vintage 2020 Postcensal Population Estimates</w:t>
      </w:r>
      <w:r w:rsidR="001A6352" w:rsidRPr="00E273B0">
        <w:rPr>
          <w:color w:val="000000" w:themeColor="text1"/>
        </w:rPr>
        <w:br/>
      </w:r>
      <w:r w:rsidR="008C6A62">
        <w:rPr>
          <w:color w:val="000000" w:themeColor="text1"/>
        </w:rPr>
        <w:br/>
      </w:r>
      <w:r w:rsidR="008C6A62">
        <w:rPr>
          <w:color w:val="000000" w:themeColor="text1"/>
        </w:rPr>
        <w:br/>
      </w:r>
    </w:p>
    <w:p w14:paraId="78B117FF" w14:textId="77777777" w:rsidR="001A6352" w:rsidRPr="00F27258" w:rsidRDefault="001A6352" w:rsidP="00F60E70">
      <w:pPr>
        <w:pStyle w:val="EndNoteBibliographyTitle"/>
        <w:jc w:val="left"/>
        <w:rPr>
          <w:noProof/>
          <w:color w:val="000000" w:themeColor="text1"/>
        </w:rPr>
      </w:pPr>
      <w:r w:rsidRPr="00F2725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fldChar w:fldCharType="begin"/>
      </w:r>
      <w:r w:rsidRPr="008A2DF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nstrText xml:space="preserve"> ADDIN EN.REFLIST </w:instrText>
      </w:r>
      <w:r w:rsidRPr="00F2725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fldChar w:fldCharType="separate"/>
      </w:r>
      <w:r w:rsidRPr="008A2DF2"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w:t>R</w:t>
      </w:r>
      <w:r w:rsidRPr="008A2DF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eferences</w:t>
      </w:r>
    </w:p>
    <w:p w14:paraId="3CF27D62" w14:textId="77777777" w:rsidR="001A6352" w:rsidRPr="00F27258" w:rsidRDefault="001A6352" w:rsidP="001A6352">
      <w:pPr>
        <w:pStyle w:val="EndNoteBibliographyTitle"/>
        <w:rPr>
          <w:noProof/>
          <w:color w:val="000000" w:themeColor="text1"/>
        </w:rPr>
      </w:pPr>
    </w:p>
    <w:p w14:paraId="3DC0FA3C" w14:textId="5C89029C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Cox, N. J. (2013) Speaking Stata: Trimming to taste.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Stata Journal,</w:t>
      </w:r>
      <w:r w:rsidRPr="00F27258">
        <w:rPr>
          <w:noProof/>
          <w:color w:val="000000" w:themeColor="text1"/>
        </w:rPr>
        <w:t xml:space="preserve"> 13</w:t>
      </w:r>
      <w:r w:rsidRPr="00F27258">
        <w:rPr>
          <w:b/>
          <w:noProof/>
          <w:color w:val="000000" w:themeColor="text1"/>
        </w:rPr>
        <w:t>,</w:t>
      </w:r>
      <w:r w:rsidRPr="00F27258">
        <w:rPr>
          <w:noProof/>
          <w:color w:val="000000" w:themeColor="text1"/>
        </w:rPr>
        <w:t xml:space="preserve"> 640-666.</w:t>
      </w:r>
    </w:p>
    <w:p w14:paraId="2F4C9D46" w14:textId="285BC470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Fowler, C. S. &amp; L. Jensen (2020) Bridging the gap between geographic concept and the data we have: The case of labor markets in the USA.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Environment and Planning A: Economy and Space,</w:t>
      </w:r>
      <w:r w:rsidRPr="00F27258">
        <w:rPr>
          <w:noProof/>
          <w:color w:val="000000" w:themeColor="text1"/>
        </w:rPr>
        <w:t xml:space="preserve"> 52</w:t>
      </w:r>
      <w:r w:rsidRPr="00F27258">
        <w:rPr>
          <w:b/>
          <w:noProof/>
          <w:color w:val="000000" w:themeColor="text1"/>
        </w:rPr>
        <w:t>,</w:t>
      </w:r>
      <w:r w:rsidRPr="00F27258">
        <w:rPr>
          <w:noProof/>
          <w:color w:val="000000" w:themeColor="text1"/>
        </w:rPr>
        <w:t xml:space="preserve"> 1395-1414.</w:t>
      </w:r>
    </w:p>
    <w:p w14:paraId="293A593A" w14:textId="056179DA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Fowler, C. S., D. C. Rhubart &amp; L. Jensen (2016) Reassessing and revising commuting zones for 2010: History, assessment, and updates for US ‘labor-sheds’ 1990–2010.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Population Research and Policy Review,</w:t>
      </w:r>
      <w:r w:rsidRPr="00F27258">
        <w:rPr>
          <w:noProof/>
          <w:color w:val="000000" w:themeColor="text1"/>
        </w:rPr>
        <w:t xml:space="preserve"> 35</w:t>
      </w:r>
      <w:r w:rsidRPr="00F27258">
        <w:rPr>
          <w:b/>
          <w:noProof/>
          <w:color w:val="000000" w:themeColor="text1"/>
        </w:rPr>
        <w:t>,</w:t>
      </w:r>
      <w:r w:rsidRPr="00F27258">
        <w:rPr>
          <w:noProof/>
          <w:color w:val="000000" w:themeColor="text1"/>
        </w:rPr>
        <w:t xml:space="preserve"> 263-286.</w:t>
      </w:r>
    </w:p>
    <w:p w14:paraId="3E7DD4E5" w14:textId="37621FEF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Manson, S., D. Van Riper, T. Kugler &amp; S. Ruggles.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noProof/>
          <w:color w:val="000000" w:themeColor="text1"/>
        </w:rPr>
        <w:t>2021.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noProof/>
          <w:color w:val="000000" w:themeColor="text1"/>
        </w:rPr>
        <w:t>IPUMS National Historical Geographic Information System: Version 16.0 [dataset]. Minneapolis, MN.</w:t>
      </w:r>
    </w:p>
    <w:p w14:paraId="7C5D3253" w14:textId="195EC8F9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Montgomery, D. C. 2013.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Design and analysis of experiments</w:t>
      </w:r>
      <w:r w:rsidRPr="00F27258">
        <w:rPr>
          <w:noProof/>
          <w:color w:val="000000" w:themeColor="text1"/>
        </w:rPr>
        <w:t>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noProof/>
          <w:color w:val="000000" w:themeColor="text1"/>
        </w:rPr>
        <w:t>Wiley.</w:t>
      </w:r>
    </w:p>
    <w:p w14:paraId="1E6091E4" w14:textId="08CEFFBF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Preston, S., P. Heuveline &amp; M. Guillot (2001) Demography: measuring and modeling population processes.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Malden, MA: Blackwell Publishers</w:t>
      </w:r>
      <w:r w:rsidRPr="00F27258">
        <w:rPr>
          <w:noProof/>
          <w:color w:val="000000" w:themeColor="text1"/>
        </w:rPr>
        <w:t>.</w:t>
      </w:r>
    </w:p>
    <w:p w14:paraId="79C9957E" w14:textId="1F4F6A63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 xml:space="preserve">Royston, P. (2004) Multiple </w:t>
      </w:r>
      <w:r w:rsidR="00C84C70" w:rsidRPr="00F27258">
        <w:rPr>
          <w:noProof/>
          <w:color w:val="000000" w:themeColor="text1"/>
        </w:rPr>
        <w:t>imputations</w:t>
      </w:r>
      <w:r w:rsidRPr="00F27258">
        <w:rPr>
          <w:noProof/>
          <w:color w:val="000000" w:themeColor="text1"/>
        </w:rPr>
        <w:t xml:space="preserve"> of missing values.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Stata Journal,</w:t>
      </w:r>
      <w:r w:rsidRPr="00F27258">
        <w:rPr>
          <w:noProof/>
          <w:color w:val="000000" w:themeColor="text1"/>
        </w:rPr>
        <w:t xml:space="preserve"> 4</w:t>
      </w:r>
      <w:r w:rsidRPr="00F27258">
        <w:rPr>
          <w:b/>
          <w:noProof/>
          <w:color w:val="000000" w:themeColor="text1"/>
        </w:rPr>
        <w:t>,</w:t>
      </w:r>
      <w:r w:rsidRPr="00F27258">
        <w:rPr>
          <w:noProof/>
          <w:color w:val="000000" w:themeColor="text1"/>
        </w:rPr>
        <w:t xml:space="preserve"> 227-241.</w:t>
      </w:r>
    </w:p>
    <w:p w14:paraId="4578EF6B" w14:textId="2C34A875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Smith, S. K., J. Tayman &amp; D. A. Swanson.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noProof/>
          <w:color w:val="000000" w:themeColor="text1"/>
        </w:rPr>
        <w:t>2006.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State and local population projections: Methodology and analysis</w:t>
      </w:r>
      <w:r w:rsidRPr="00F27258">
        <w:rPr>
          <w:noProof/>
          <w:color w:val="000000" w:themeColor="text1"/>
        </w:rPr>
        <w:t>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noProof/>
          <w:color w:val="000000" w:themeColor="text1"/>
        </w:rPr>
        <w:t>Springer Science &amp; Business Media.</w:t>
      </w:r>
    </w:p>
    <w:p w14:paraId="4B85C465" w14:textId="653AA1B3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Wilson, T. (2015) New evaluations of simple models for small area population forecasts.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Population, Space and Place,</w:t>
      </w:r>
      <w:r w:rsidRPr="00F27258">
        <w:rPr>
          <w:noProof/>
          <w:color w:val="000000" w:themeColor="text1"/>
        </w:rPr>
        <w:t xml:space="preserve"> 21</w:t>
      </w:r>
      <w:r w:rsidRPr="00F27258">
        <w:rPr>
          <w:b/>
          <w:noProof/>
          <w:color w:val="000000" w:themeColor="text1"/>
        </w:rPr>
        <w:t>,</w:t>
      </w:r>
      <w:r w:rsidRPr="00F27258">
        <w:rPr>
          <w:noProof/>
          <w:color w:val="000000" w:themeColor="text1"/>
        </w:rPr>
        <w:t xml:space="preserve"> 335-353.</w:t>
      </w:r>
    </w:p>
    <w:p w14:paraId="65CC3F70" w14:textId="4132A23B" w:rsidR="001A6352" w:rsidRPr="00F27258" w:rsidRDefault="001A6352" w:rsidP="001A6352">
      <w:pPr>
        <w:pStyle w:val="EndNoteBibliography"/>
        <w:ind w:left="720" w:hanging="720"/>
        <w:rPr>
          <w:noProof/>
          <w:color w:val="000000" w:themeColor="text1"/>
        </w:rPr>
      </w:pPr>
      <w:r w:rsidRPr="00F27258">
        <w:rPr>
          <w:noProof/>
          <w:color w:val="000000" w:themeColor="text1"/>
        </w:rPr>
        <w:t>--- (2016) Evaluation of alternative cohort-component models for local area population forecasts.</w:t>
      </w:r>
      <w:r w:rsidR="00C84C70" w:rsidRPr="00F27258">
        <w:rPr>
          <w:noProof/>
          <w:color w:val="000000" w:themeColor="text1"/>
        </w:rPr>
        <w:t xml:space="preserve"> </w:t>
      </w:r>
      <w:r w:rsidRPr="00F27258">
        <w:rPr>
          <w:i/>
          <w:noProof/>
          <w:color w:val="000000" w:themeColor="text1"/>
        </w:rPr>
        <w:t>Population Research and Policy Review,</w:t>
      </w:r>
      <w:r w:rsidRPr="00F27258">
        <w:rPr>
          <w:noProof/>
          <w:color w:val="000000" w:themeColor="text1"/>
        </w:rPr>
        <w:t xml:space="preserve"> 35</w:t>
      </w:r>
      <w:r w:rsidRPr="00F27258">
        <w:rPr>
          <w:b/>
          <w:noProof/>
          <w:color w:val="000000" w:themeColor="text1"/>
        </w:rPr>
        <w:t>,</w:t>
      </w:r>
      <w:r w:rsidRPr="00F27258">
        <w:rPr>
          <w:noProof/>
          <w:color w:val="000000" w:themeColor="text1"/>
        </w:rPr>
        <w:t xml:space="preserve"> 241-261.</w:t>
      </w:r>
    </w:p>
    <w:p w14:paraId="59EB3204" w14:textId="75C1FF90" w:rsidR="00BE1CA4" w:rsidRPr="008C6A62" w:rsidRDefault="001A6352" w:rsidP="001A6352">
      <w:pPr>
        <w:rPr>
          <w:color w:val="000000" w:themeColor="text1"/>
        </w:rPr>
      </w:pPr>
      <w:r w:rsidRPr="00F27258">
        <w:rPr>
          <w:color w:val="000000" w:themeColor="text1"/>
        </w:rPr>
        <w:fldChar w:fldCharType="end"/>
      </w:r>
      <w:r w:rsidR="008C6A62">
        <w:rPr>
          <w:color w:val="000000" w:themeColor="text1"/>
        </w:rPr>
        <w:t xml:space="preserve">--- (2021) </w:t>
      </w:r>
      <w:r w:rsidR="008C6A62" w:rsidRPr="008C6A62">
        <w:rPr>
          <w:color w:val="000000" w:themeColor="text1"/>
        </w:rPr>
        <w:t>METHODOLOGY FOR THE UNITED STATES POPULATION ESTIMATES: VINTAGE 2021</w:t>
      </w:r>
      <w:r w:rsidR="008C6A62">
        <w:rPr>
          <w:color w:val="000000" w:themeColor="text1"/>
        </w:rPr>
        <w:t xml:space="preserve">…, </w:t>
      </w:r>
      <w:r w:rsidR="008C6A62" w:rsidRPr="008C6A62">
        <w:rPr>
          <w:color w:val="000000" w:themeColor="text1"/>
        </w:rPr>
        <w:t xml:space="preserve"> </w:t>
      </w:r>
      <w:r w:rsidR="008C6A62" w:rsidRPr="008C6A62">
        <w:rPr>
          <w:i/>
          <w:iCs/>
          <w:color w:val="000000" w:themeColor="text1"/>
        </w:rPr>
        <w:t>County Population Totals: 2020-2021</w:t>
      </w:r>
      <w:r w:rsidR="008C6A62">
        <w:rPr>
          <w:i/>
          <w:iCs/>
          <w:color w:val="000000" w:themeColor="text1"/>
        </w:rPr>
        <w:t xml:space="preserve">.  </w:t>
      </w:r>
      <w:r w:rsidR="00BE1CA4" w:rsidRPr="00BE1CA4">
        <w:rPr>
          <w:color w:val="000000" w:themeColor="text1"/>
        </w:rPr>
        <w:t>https://www2.census.gov/programs-surveys/popest/technical-documentation/methodology/2020-2021/methods-statement-v2021.pdf</w:t>
      </w:r>
      <w:r w:rsidR="00BE1CA4">
        <w:rPr>
          <w:color w:val="000000" w:themeColor="text1"/>
        </w:rPr>
        <w:t>, October 12</w:t>
      </w:r>
      <w:r w:rsidR="00BE1CA4" w:rsidRPr="00BE1CA4">
        <w:rPr>
          <w:color w:val="000000" w:themeColor="text1"/>
          <w:vertAlign w:val="superscript"/>
        </w:rPr>
        <w:t>th</w:t>
      </w:r>
      <w:r w:rsidR="00BE1CA4">
        <w:rPr>
          <w:color w:val="000000" w:themeColor="text1"/>
        </w:rPr>
        <w:t>, 2022.</w:t>
      </w:r>
    </w:p>
    <w:p w14:paraId="28326EBC" w14:textId="77777777" w:rsidR="0057693E" w:rsidRPr="00F27258" w:rsidRDefault="0057693E" w:rsidP="0057693E">
      <w:pPr>
        <w:pStyle w:val="Heading1"/>
      </w:pPr>
    </w:p>
    <w:sectPr w:rsidR="0057693E" w:rsidRPr="00F27258" w:rsidSect="00181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D6779" w14:textId="77777777" w:rsidR="00423D06" w:rsidRDefault="00423D06" w:rsidP="001A6352">
      <w:r>
        <w:separator/>
      </w:r>
    </w:p>
  </w:endnote>
  <w:endnote w:type="continuationSeparator" w:id="0">
    <w:p w14:paraId="594DBC54" w14:textId="77777777" w:rsidR="00423D06" w:rsidRDefault="00423D06" w:rsidP="001A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D7510" w14:textId="77777777" w:rsidR="00423D06" w:rsidRDefault="00423D06" w:rsidP="001A6352">
      <w:r>
        <w:separator/>
      </w:r>
    </w:p>
  </w:footnote>
  <w:footnote w:type="continuationSeparator" w:id="0">
    <w:p w14:paraId="470437F4" w14:textId="77777777" w:rsidR="00423D06" w:rsidRDefault="00423D06" w:rsidP="001A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5471"/>
    <w:multiLevelType w:val="hybridMultilevel"/>
    <w:tmpl w:val="9CC25042"/>
    <w:lvl w:ilvl="0" w:tplc="ED6AA0C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65B83"/>
    <w:multiLevelType w:val="hybridMultilevel"/>
    <w:tmpl w:val="F2DC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D5BA6"/>
    <w:multiLevelType w:val="hybridMultilevel"/>
    <w:tmpl w:val="69CE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87DC0"/>
    <w:multiLevelType w:val="hybridMultilevel"/>
    <w:tmpl w:val="DFB85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52"/>
    <w:rsid w:val="00006690"/>
    <w:rsid w:val="0002782C"/>
    <w:rsid w:val="00035617"/>
    <w:rsid w:val="000B763C"/>
    <w:rsid w:val="000F3050"/>
    <w:rsid w:val="00101E1D"/>
    <w:rsid w:val="0011798D"/>
    <w:rsid w:val="00161BAA"/>
    <w:rsid w:val="00181D74"/>
    <w:rsid w:val="00183E5C"/>
    <w:rsid w:val="0018692F"/>
    <w:rsid w:val="001A6352"/>
    <w:rsid w:val="001C5FA1"/>
    <w:rsid w:val="00224F2B"/>
    <w:rsid w:val="002733FD"/>
    <w:rsid w:val="003D07AA"/>
    <w:rsid w:val="003D706D"/>
    <w:rsid w:val="00420741"/>
    <w:rsid w:val="00423D06"/>
    <w:rsid w:val="00432AA6"/>
    <w:rsid w:val="004B1354"/>
    <w:rsid w:val="004C7449"/>
    <w:rsid w:val="00524F46"/>
    <w:rsid w:val="0057693E"/>
    <w:rsid w:val="00630456"/>
    <w:rsid w:val="00641C41"/>
    <w:rsid w:val="00720A77"/>
    <w:rsid w:val="0072732C"/>
    <w:rsid w:val="007544BB"/>
    <w:rsid w:val="007765BC"/>
    <w:rsid w:val="007D6970"/>
    <w:rsid w:val="00876348"/>
    <w:rsid w:val="008A2DF2"/>
    <w:rsid w:val="008C6A62"/>
    <w:rsid w:val="00913AF5"/>
    <w:rsid w:val="00945ADE"/>
    <w:rsid w:val="009B4232"/>
    <w:rsid w:val="00A95092"/>
    <w:rsid w:val="00AA6EAF"/>
    <w:rsid w:val="00BA19E6"/>
    <w:rsid w:val="00BE1CA4"/>
    <w:rsid w:val="00C257B4"/>
    <w:rsid w:val="00C25DE7"/>
    <w:rsid w:val="00C26C71"/>
    <w:rsid w:val="00C84C70"/>
    <w:rsid w:val="00C85F75"/>
    <w:rsid w:val="00CD2C35"/>
    <w:rsid w:val="00D23375"/>
    <w:rsid w:val="00D67DAD"/>
    <w:rsid w:val="00D729AA"/>
    <w:rsid w:val="00D74028"/>
    <w:rsid w:val="00D80DDA"/>
    <w:rsid w:val="00DD60FC"/>
    <w:rsid w:val="00DE3CCF"/>
    <w:rsid w:val="00E273B0"/>
    <w:rsid w:val="00E81F8F"/>
    <w:rsid w:val="00E94B2E"/>
    <w:rsid w:val="00EA08E7"/>
    <w:rsid w:val="00EC0F30"/>
    <w:rsid w:val="00ED0C1C"/>
    <w:rsid w:val="00ED32B8"/>
    <w:rsid w:val="00F27258"/>
    <w:rsid w:val="00F60E70"/>
    <w:rsid w:val="00F8569F"/>
    <w:rsid w:val="00FC6883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461A"/>
  <w15:chartTrackingRefBased/>
  <w15:docId w15:val="{55F6BFF3-9B49-F342-A23D-4486D989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6352"/>
  </w:style>
  <w:style w:type="paragraph" w:styleId="Heading1">
    <w:name w:val="heading 1"/>
    <w:basedOn w:val="Normal"/>
    <w:next w:val="Normal"/>
    <w:link w:val="Heading1Char"/>
    <w:uiPriority w:val="9"/>
    <w:qFormat/>
    <w:rsid w:val="00F60E7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6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5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3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35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A6352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A6352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1A6352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1A635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6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90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60E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2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E1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cs.usda.gov/wps/portal/nrcs/detail/national/home/?cid=nrcs143_0136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rcs.usda.gov/wps/portal/nrcs/detail/?cid=nrcs143_013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FECBE7-84EF-CB40-8498-26C9FD1D23B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Carney</dc:creator>
  <cp:keywords/>
  <dc:description/>
  <cp:lastModifiedBy>mamic cayme</cp:lastModifiedBy>
  <cp:revision>11</cp:revision>
  <dcterms:created xsi:type="dcterms:W3CDTF">2022-03-09T15:03:00Z</dcterms:created>
  <dcterms:modified xsi:type="dcterms:W3CDTF">2022-10-13T17:22:00Z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documentId_5018</vt:lpwstr>
  </property>
  <property fmtid="{D5CDD505-2E9C-101B-9397-08002B2CF9AE}" pid="3" name="grammarly_documentContext">
    <vt:lpwstr>{"goals":[],"domain":"general","emotions":[],"dialect":"american"}</vt:lpwstr>
  </property>
</Properties>
</file>